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0"/>
        <w:gridCol w:w="4933"/>
        <w:gridCol w:w="2001"/>
      </w:tblGrid>
      <w:tr w:rsidR="00B22D9C" w:rsidTr="00E142B3">
        <w:trPr>
          <w:trHeight w:val="255"/>
        </w:trPr>
        <w:tc>
          <w:tcPr>
            <w:tcW w:w="6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D9C" w:rsidRDefault="00683411">
            <w:pPr>
              <w:pStyle w:val="Cuerpo"/>
              <w:jc w:val="center"/>
            </w:pPr>
            <w:r>
              <w:rPr>
                <w:b/>
                <w:bCs/>
                <w:lang w:val="es-ES_tradnl"/>
              </w:rPr>
              <w:t>TABLA DE CUALIFICACIÓN DOCENTE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Nº ECTS</w:t>
            </w:r>
          </w:p>
        </w:tc>
      </w:tr>
      <w:tr w:rsidR="00B22D9C" w:rsidRPr="00A13DBB" w:rsidTr="00E142B3">
        <w:trPr>
          <w:trHeight w:val="490"/>
        </w:trPr>
        <w:tc>
          <w:tcPr>
            <w:tcW w:w="6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D9C" w:rsidRDefault="00683411">
            <w:pPr>
              <w:pStyle w:val="Cuerpo"/>
              <w:spacing w:after="0" w:line="240" w:lineRule="auto"/>
            </w:pPr>
            <w:r>
              <w:rPr>
                <w:b/>
                <w:bCs/>
                <w:u w:val="single"/>
                <w:lang w:val="es-ES_tradnl"/>
              </w:rPr>
              <w:t>MATERIA</w:t>
            </w:r>
            <w:r>
              <w:rPr>
                <w:lang w:val="es-ES_tradnl"/>
              </w:rPr>
              <w:t xml:space="preserve">: </w:t>
            </w:r>
            <w:r w:rsidR="00E142B3">
              <w:rPr>
                <w:lang w:val="es-ES_tradnl"/>
              </w:rPr>
              <w:t>DERECHO CONSTITUCIONAL/DERECHO DE LA UE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2B3" w:rsidRPr="00E142B3" w:rsidRDefault="00E142B3">
            <w:pPr>
              <w:rPr>
                <w:lang w:val="es-ES"/>
              </w:rPr>
            </w:pPr>
          </w:p>
        </w:tc>
      </w:tr>
      <w:tr w:rsidR="00B22D9C" w:rsidRPr="00A13DBB">
        <w:trPr>
          <w:trHeight w:val="26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D9C" w:rsidRDefault="00683411">
            <w:pPr>
              <w:pStyle w:val="Cuerpo"/>
              <w:spacing w:after="0" w:line="240" w:lineRule="auto"/>
              <w:rPr>
                <w:u w:val="single"/>
              </w:rPr>
            </w:pPr>
            <w:r>
              <w:rPr>
                <w:u w:val="single"/>
                <w:lang w:val="es-ES_tradnl"/>
              </w:rPr>
              <w:t>Perfil del profesor</w:t>
            </w: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</w:pPr>
          </w:p>
        </w:tc>
        <w:tc>
          <w:tcPr>
            <w:tcW w:w="6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Experto en Derecho Constitucional </w:t>
            </w:r>
          </w:p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Experiencia investigadora: un sexenio de investigación concedido por la Comisión Nacional Evaluadora de la Actividad Investigadora en 2014</w:t>
            </w:r>
          </w:p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Experiencia docente: dos quinquenios de investigación, evaluación positiva en programa </w:t>
            </w:r>
            <w:proofErr w:type="spellStart"/>
            <w:r>
              <w:rPr>
                <w:lang w:val="es-ES_tradnl"/>
              </w:rPr>
              <w:t>Docentia</w:t>
            </w:r>
            <w:proofErr w:type="spellEnd"/>
            <w:r>
              <w:rPr>
                <w:lang w:val="es-ES_tradnl"/>
              </w:rPr>
              <w:t>, materias impartidas en Grado: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. derecho constitucional, 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. justicia constitucional, 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. derecho de la Unión Europea, </w:t>
            </w:r>
          </w:p>
          <w:p w:rsidR="00B22D9C" w:rsidRDefault="00B22D9C">
            <w:pPr>
              <w:pStyle w:val="Cuerpo"/>
              <w:spacing w:after="0" w:line="240" w:lineRule="auto"/>
              <w:rPr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</w:pPr>
            <w:bookmarkStart w:id="0" w:name="_GoBack"/>
            <w:bookmarkEnd w:id="0"/>
          </w:p>
        </w:tc>
      </w:tr>
      <w:tr w:rsidR="00B22D9C">
        <w:trPr>
          <w:trHeight w:val="2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D9C" w:rsidRDefault="00683411">
            <w:pPr>
              <w:pStyle w:val="Cuerpo"/>
              <w:spacing w:after="0" w:line="240" w:lineRule="auto"/>
              <w:rPr>
                <w:u w:val="single"/>
              </w:rPr>
            </w:pPr>
            <w:r>
              <w:rPr>
                <w:u w:val="single"/>
                <w:lang w:val="es-ES_tradnl"/>
              </w:rPr>
              <w:t>Líneas de investigación</w:t>
            </w: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</w:pPr>
          </w:p>
        </w:tc>
        <w:tc>
          <w:tcPr>
            <w:tcW w:w="6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1. derechos económicos y sociales</w:t>
            </w:r>
          </w:p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2.sistema europeo de garantía de los derechos fundamentales</w:t>
            </w:r>
          </w:p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3.distribución de competencias</w:t>
            </w:r>
          </w:p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4. asilo e inmigración</w:t>
            </w:r>
          </w:p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5.</w:t>
            </w:r>
          </w:p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.</w:t>
            </w:r>
          </w:p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.</w:t>
            </w:r>
          </w:p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.</w:t>
            </w:r>
          </w:p>
        </w:tc>
      </w:tr>
      <w:tr w:rsidR="00B22D9C">
        <w:trPr>
          <w:trHeight w:val="84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D9C" w:rsidRDefault="00683411">
            <w:pPr>
              <w:pStyle w:val="Cuerpo"/>
              <w:spacing w:after="0" w:line="240" w:lineRule="auto"/>
              <w:rPr>
                <w:u w:val="single"/>
              </w:rPr>
            </w:pPr>
            <w:r>
              <w:rPr>
                <w:u w:val="single"/>
                <w:lang w:val="es-ES_tradnl"/>
              </w:rPr>
              <w:lastRenderedPageBreak/>
              <w:t>Proyectos</w:t>
            </w: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</w:pPr>
          </w:p>
        </w:tc>
        <w:tc>
          <w:tcPr>
            <w:tcW w:w="6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1.EL IMPACTO DE LAS DECISIONES DEL TRIBUNAL EUROPEO DE DERECHOS HUMANOS: UNA APROXIMACIÓN COMPARADA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MINISTERIO DE ECONOMÍA Y COMPETITIVIDAD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DER2012-37637-C02-01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01/01/2013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31/12/2015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2. CONSTITUCIONALIZACIÓN DE LA ESTABILIDAD PRESUPUESTARIA Y SUS IMPLICACIONES EN LOS PROCESOS DE PRESUPUESTACIÓN, EJECUCIÓN Y CONTROL DEL GASTO PÚBLICO EN UNA HACIENDA MÚLTIPLE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MINISTERIO DE ECONOMÍA Y COMPETITIVIDAD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DER2012-37921-C02-01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01/01/2013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31/12/2015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3. LA PROTECCIÓN DE LAS LIBERTADES FUNDAMENTALES Y LOS DERECHOS FUNDAMENTALES EN EL ORDENAMIENTO FINANCIERO Y TRIBUTARIO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MINISTERIO DE ECONOMÍA Y COMPETITIVIDAD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DER2015-65832-P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01/01/2016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31/12/2018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4. AMENAZAS Y DEBILIDADES EN LOS SISTEMAS EUROPEO E INTERAMERICANO DE DERECHOS HUMANOS: PARTICULARISMOS NACIONALES Y PROTECCIÓN DE LOS DERECHOS SOCIALES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MINISTERIO DE ECONOMÍA Y COMPETITIVIDAD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DER2017-82304-C3-1-P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01/01/2018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5.</w:t>
            </w:r>
          </w:p>
          <w:p w:rsidR="00B22D9C" w:rsidRDefault="00683411">
            <w:pPr>
              <w:pStyle w:val="Cuerpo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.</w:t>
            </w:r>
          </w:p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.</w:t>
            </w:r>
          </w:p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.</w:t>
            </w:r>
          </w:p>
          <w:p w:rsidR="00B22D9C" w:rsidRDefault="00B22D9C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ascii="Helvetica" w:eastAsia="Helvetica" w:hAnsi="Helvetica" w:cs="Helvetica"/>
                <w:color w:val="78555D"/>
                <w:sz w:val="23"/>
                <w:szCs w:val="23"/>
                <w:shd w:val="clear" w:color="auto" w:fill="FEFFFE"/>
              </w:rPr>
            </w:pPr>
          </w:p>
          <w:p w:rsidR="00B22D9C" w:rsidRDefault="00B22D9C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Helvetica" w:eastAsia="Helvetica" w:hAnsi="Helvetica" w:cs="Helvetica"/>
                <w:color w:val="575757"/>
                <w:sz w:val="23"/>
                <w:szCs w:val="23"/>
                <w:shd w:val="clear" w:color="auto" w:fill="FEFFFE"/>
              </w:rPr>
            </w:pPr>
          </w:p>
          <w:p w:rsidR="00B22D9C" w:rsidRDefault="00B22D9C">
            <w:pPr>
              <w:pStyle w:val="Cuerpo"/>
              <w:spacing w:after="0" w:line="240" w:lineRule="auto"/>
            </w:pPr>
          </w:p>
        </w:tc>
      </w:tr>
      <w:tr w:rsidR="00B22D9C" w:rsidRPr="00A13DBB">
        <w:trPr>
          <w:trHeight w:val="31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D9C" w:rsidRDefault="00683411">
            <w:pPr>
              <w:pStyle w:val="Cuerpo"/>
              <w:spacing w:after="0" w:line="240" w:lineRule="auto"/>
              <w:rPr>
                <w:u w:val="single"/>
              </w:rPr>
            </w:pPr>
            <w:r>
              <w:rPr>
                <w:u w:val="single"/>
                <w:lang w:val="es-ES_tradnl"/>
              </w:rPr>
              <w:t>Publicaciones</w:t>
            </w: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</w:pPr>
          </w:p>
        </w:tc>
        <w:tc>
          <w:tcPr>
            <w:tcW w:w="6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Prohibiciones ambientales y libertad de empresa, </w:t>
            </w:r>
            <w:proofErr w:type="spellStart"/>
            <w:r>
              <w:rPr>
                <w:lang w:val="es-ES_tradnl"/>
              </w:rPr>
              <w:t>Lex</w:t>
            </w:r>
            <w:proofErr w:type="spellEnd"/>
            <w:r>
              <w:rPr>
                <w:lang w:val="es-ES_tradnl"/>
              </w:rPr>
              <w:t xml:space="preserve"> Nova, 2004;</w:t>
            </w:r>
          </w:p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La libertad de empresa: ¿un terrible derecho?, Centro de Estudios Políticos y Constitucionales, 2008.</w:t>
            </w:r>
          </w:p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"El impacto de la jurisprudencia del Tribunal Europeo de Derechos Humanos en la expulsión de inmigrantes" en la Revista General de Derecho Constitucional (2015).</w:t>
            </w:r>
          </w:p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"Competencias autonómicas de ejecución e inspección de trabajo: asimetrías territoriales e igualdad de derechos", en la Revista Española de Derecho Constitucional (2013)</w:t>
            </w:r>
          </w:p>
          <w:p w:rsidR="00B22D9C" w:rsidRDefault="00683411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 xml:space="preserve">La participación de los Tribunales constitucionales en el Sistema europeo de Derechos Fundamentales (a propósito del diálogo entre la Corte Constitucional italiana y el Tribunal de Justicia en el Asunto </w:t>
            </w:r>
            <w:proofErr w:type="spellStart"/>
            <w:r>
              <w:rPr>
                <w:lang w:val="es-ES_tradnl"/>
              </w:rPr>
              <w:t>Taricco</w:t>
            </w:r>
            <w:proofErr w:type="spellEnd"/>
            <w:r>
              <w:rPr>
                <w:lang w:val="es-ES_tradnl"/>
              </w:rPr>
              <w:t>),en: Revista española de derecho europeo (2018)</w:t>
            </w:r>
          </w:p>
        </w:tc>
      </w:tr>
      <w:tr w:rsidR="00B22D9C" w:rsidRPr="00A13DBB">
        <w:trPr>
          <w:trHeight w:val="1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D9C" w:rsidRDefault="00683411">
            <w:pPr>
              <w:pStyle w:val="Cuerpo"/>
              <w:spacing w:after="0" w:line="240" w:lineRule="auto"/>
              <w:rPr>
                <w:u w:val="single"/>
              </w:rPr>
            </w:pPr>
            <w:r>
              <w:rPr>
                <w:u w:val="single"/>
                <w:lang w:val="es-ES_tradnl"/>
              </w:rPr>
              <w:lastRenderedPageBreak/>
              <w:t>Experiencia Profesional</w:t>
            </w: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  <w:rPr>
                <w:u w:val="single"/>
                <w:lang w:val="es-ES_tradnl"/>
              </w:rPr>
            </w:pPr>
          </w:p>
          <w:p w:rsidR="00B22D9C" w:rsidRDefault="00B22D9C">
            <w:pPr>
              <w:pStyle w:val="Cuerpo"/>
              <w:spacing w:after="0" w:line="240" w:lineRule="auto"/>
            </w:pPr>
          </w:p>
        </w:tc>
        <w:tc>
          <w:tcPr>
            <w:tcW w:w="6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D9C" w:rsidRPr="00E142B3" w:rsidRDefault="00683411">
            <w:pPr>
              <w:rPr>
                <w:lang w:val="es-ES"/>
              </w:rPr>
            </w:pPr>
            <w:r w:rsidRPr="00E142B3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s-ES"/>
              </w:rPr>
              <w:t>Profesor Contratado Doctor (dedicación a tiempo completo)</w:t>
            </w:r>
          </w:p>
        </w:tc>
      </w:tr>
    </w:tbl>
    <w:p w:rsidR="00B22D9C" w:rsidRDefault="00B22D9C">
      <w:pPr>
        <w:pStyle w:val="Cuerpo"/>
        <w:widowControl w:val="0"/>
        <w:spacing w:line="240" w:lineRule="auto"/>
      </w:pPr>
    </w:p>
    <w:sectPr w:rsidR="00B22D9C">
      <w:headerReference w:type="default" r:id="rId7"/>
      <w:footerReference w:type="default" r:id="rId8"/>
      <w:pgSz w:w="11900" w:h="16840"/>
      <w:pgMar w:top="1664" w:right="1701" w:bottom="1417" w:left="1701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FD" w:rsidRDefault="005917FD">
      <w:r>
        <w:separator/>
      </w:r>
    </w:p>
  </w:endnote>
  <w:endnote w:type="continuationSeparator" w:id="0">
    <w:p w:rsidR="005917FD" w:rsidRDefault="0059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9C" w:rsidRDefault="00B22D9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FD" w:rsidRDefault="005917FD">
      <w:r>
        <w:separator/>
      </w:r>
    </w:p>
  </w:footnote>
  <w:footnote w:type="continuationSeparator" w:id="0">
    <w:p w:rsidR="005917FD" w:rsidRDefault="0059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9C" w:rsidRDefault="00683411">
    <w:pPr>
      <w:pStyle w:val="Encabezado"/>
      <w:tabs>
        <w:tab w:val="clear" w:pos="8504"/>
        <w:tab w:val="right" w:pos="8478"/>
      </w:tabs>
    </w:pPr>
    <w:r>
      <w:rPr>
        <w:noProof/>
        <w:lang w:val="es-ES"/>
      </w:rPr>
      <w:drawing>
        <wp:inline distT="0" distB="0" distL="0" distR="0">
          <wp:extent cx="2146053" cy="552450"/>
          <wp:effectExtent l="0" t="0" r="0" b="0"/>
          <wp:docPr id="1073741825" name="officeArt object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lzuloaga\AppData\Local\Temp\Rar$DIa0.853\Marca UCM Alternativa logo negro.png" descr="C:\Users\lzuloaga\AppData\Local\Temp\Rar$DIa0.853\Marca UCM Alternativa logo negr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053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9C"/>
    <w:rsid w:val="002942E2"/>
    <w:rsid w:val="003C24C2"/>
    <w:rsid w:val="005917FD"/>
    <w:rsid w:val="00683411"/>
    <w:rsid w:val="00856D46"/>
    <w:rsid w:val="00A13DBB"/>
    <w:rsid w:val="00B22D9C"/>
    <w:rsid w:val="00E142B3"/>
    <w:rsid w:val="00E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BD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BD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4</cp:revision>
  <dcterms:created xsi:type="dcterms:W3CDTF">2019-04-30T11:31:00Z</dcterms:created>
  <dcterms:modified xsi:type="dcterms:W3CDTF">2019-06-20T14:32:00Z</dcterms:modified>
</cp:coreProperties>
</file>